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Adatszolgáltatás a költségvetési támogatásokról 2026. március hónapban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Nagyfa-Alföld Kft.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35"/>
        <w:gridCol w:w="4111"/>
        <w:gridCol w:w="1841"/>
        <w:gridCol w:w="1772"/>
        <w:gridCol w:w="1915"/>
        <w:gridCol w:w="2409"/>
      </w:tblGrid>
      <w:tr>
        <w:trPr/>
        <w:tc>
          <w:tcPr>
            <w:tcW w:w="95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Sorszám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Dátum</w:t>
            </w:r>
          </w:p>
        </w:tc>
        <w:tc>
          <w:tcPr>
            <w:tcW w:w="4111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Támogatás célja</w:t>
            </w:r>
          </w:p>
        </w:tc>
        <w:tc>
          <w:tcPr>
            <w:tcW w:w="1841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Támogatás alapja</w:t>
            </w:r>
          </w:p>
        </w:tc>
        <w:tc>
          <w:tcPr>
            <w:tcW w:w="1772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Támogatást folyósító</w:t>
            </w:r>
          </w:p>
        </w:tc>
        <w:tc>
          <w:tcPr>
            <w:tcW w:w="1915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Támogatás összege</w:t>
            </w:r>
          </w:p>
        </w:tc>
        <w:tc>
          <w:tcPr>
            <w:tcW w:w="2409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Megjegyzés</w:t>
            </w:r>
          </w:p>
        </w:tc>
      </w:tr>
      <w:tr>
        <w:trPr>
          <w:trHeight w:val="457" w:hRule="atLeast"/>
        </w:trPr>
        <w:tc>
          <w:tcPr>
            <w:tcW w:w="958" w:type="dxa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2026.03.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111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2026. évi munkabérfejlesztéshez szükséges támogatás</w:t>
            </w:r>
          </w:p>
        </w:tc>
        <w:tc>
          <w:tcPr>
            <w:tcW w:w="1841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Büntetés-végrehajtás Országos Parancsnoksága</w:t>
            </w:r>
          </w:p>
        </w:tc>
        <w:tc>
          <w:tcPr>
            <w:tcW w:w="1915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17.154.500,- Ft</w:t>
            </w:r>
          </w:p>
        </w:tc>
        <w:tc>
          <w:tcPr>
            <w:tcW w:w="2409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B05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58" w:type="dxa"/>
            <w:tcBorders>
              <w:top w:val="single" w:sz="6" w:space="0" w:color="000000"/>
              <w:left w:val="thinThick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trike/>
                <w:color w:val="C0504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color w:val="C0504D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fej"/>
      <w:spacing w:before="0" w:after="200"/>
      <w:ind w:left="720" w:hanging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1. számú melléklet a Közzétételi Szabályzathoz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u-HU" w:eastAsia="zh-CN" w:bidi="ar-SA"/>
    </w:rPr>
  </w:style>
  <w:style w:type="character" w:styleId="Bekezdsalapbettpusa">
    <w:name w:val="Bekezdés alapbetűtípusa"/>
    <w:qFormat/>
    <w:rPr/>
  </w:style>
  <w:style w:type="character" w:styleId="WW8Num1z0">
    <w:name w:val="WW8Num1z0"/>
    <w:qFormat/>
    <w:rPr>
      <w:rFonts w:ascii="Symbol" w:hAnsi="Symbol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Bekezdsalapbettpusa1">
    <w:name w:val="Bekezdés alapbetűtípusa1"/>
    <w:qFormat/>
    <w:rPr/>
  </w:style>
  <w:style w:type="character" w:styleId="BuborkszvegChar">
    <w:name w:val="Buborékszöveg Char"/>
    <w:qFormat/>
    <w:rPr>
      <w:rFonts w:ascii="Tahoma" w:hAnsi="Tahoma" w:cs="Tahoma"/>
      <w:sz w:val="16"/>
      <w:szCs w:val="16"/>
    </w:rPr>
  </w:style>
  <w:style w:type="character" w:styleId="LfejChar">
    <w:name w:val="Élőfej Char"/>
    <w:qFormat/>
    <w:rPr>
      <w:sz w:val="22"/>
      <w:szCs w:val="22"/>
    </w:rPr>
  </w:style>
  <w:style w:type="character" w:styleId="LlbChar">
    <w:name w:val="Élőláb Char"/>
    <w:qFormat/>
    <w:rPr>
      <w:sz w:val="22"/>
      <w:szCs w:val="22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Kpalrs">
    <w:name w:val="Képaláírá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szerbekezds">
    <w:name w:val="Listaszerű bekezdés"/>
    <w:basedOn w:val="Normal"/>
    <w:qFormat/>
    <w:pPr>
      <w:spacing w:before="0" w:after="200"/>
      <w:ind w:left="720" w:right="0" w:hanging="0"/>
      <w:contextualSpacing/>
    </w:pPr>
    <w:rPr/>
  </w:style>
  <w:style w:type="paragraph" w:styleId="Buborkszveg">
    <w:name w:val="Buborékszöveg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hu-HU"/>
    </w:rPr>
  </w:style>
  <w:style w:type="paragraph" w:styleId="Lfejsllb">
    <w:name w:val="Élőfej és élőláb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fej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hu-HU"/>
    </w:rPr>
  </w:style>
  <w:style w:type="paragraph" w:styleId="Llb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hu-HU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</TotalTime>
  <Application>LibreOffice/7.5.2.2$Windows_X86_64 LibreOffice_project/53bb9681a964705cf672590721dbc85eb4d0c3a2</Application>
  <AppVersion>15.0000</AppVersion>
  <Pages>1</Pages>
  <Words>39</Words>
  <Characters>325</Characters>
  <CharactersWithSpaces>348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2024-07-03T10:01:00Z</dcterms:created>
  <dc:creator>torok.melinda</dc:creator>
  <dc:description/>
  <dc:language>hu-HU</dc:language>
  <cp:lastModifiedBy/>
  <cp:lastPrinted>2022-05-16T13:22:00Z</cp:lastPrinted>
  <dcterms:modified xsi:type="dcterms:W3CDTF">2026-04-01T15:46:32Z</dcterms:modified>
  <cp:revision>4</cp:revision>
  <dc:subject/>
  <dc:title>Adatszolgáltatás a költségvetési támogatásokról 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